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D453F7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6"/>
        <w:gridCol w:w="4606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BC58AC" w:rsidRPr="007B6C7D" w:rsidRDefault="00A67D9D" w:rsidP="00955A8C">
            <w:pPr>
              <w:tabs>
                <w:tab w:val="left" w:pos="4007"/>
              </w:tabs>
              <w:spacing w:after="0" w:line="240" w:lineRule="auto"/>
            </w:pPr>
            <w:r>
              <w:t>22</w:t>
            </w:r>
            <w:r w:rsidR="00A10751">
              <w:t>.10</w:t>
            </w:r>
            <w:r w:rsidR="00955A8C">
              <w:t>.2021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BC58AC" w:rsidRPr="007B6C7D" w:rsidRDefault="00BC58AC" w:rsidP="00A10751">
            <w:pPr>
              <w:tabs>
                <w:tab w:val="left" w:pos="4007"/>
              </w:tabs>
              <w:spacing w:after="0" w:line="240" w:lineRule="auto"/>
            </w:pPr>
            <w:r>
              <w:t xml:space="preserve">Miestnosť č. </w:t>
            </w:r>
            <w:r w:rsidR="00A10751">
              <w:t>406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BC58AC" w:rsidRPr="007B6C7D" w:rsidRDefault="00DB3D8E" w:rsidP="00BC58AC">
            <w:pPr>
              <w:tabs>
                <w:tab w:val="left" w:pos="4007"/>
              </w:tabs>
              <w:spacing w:after="0" w:line="240" w:lineRule="auto"/>
            </w:pPr>
            <w:r w:rsidRPr="00DB3D8E">
              <w:t>https://www.ssusnitra.sk/moderna_informatika/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 xml:space="preserve"> na školský rok 2021/2022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:rsidR="00DB01F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Základy 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>práce s virtuálnou grafikou.</w:t>
            </w:r>
          </w:p>
          <w:p w:rsidR="00B9241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Vektorová a bitmapová grafika s možnosťou </w:t>
            </w:r>
            <w:r w:rsidR="00B92414">
              <w:rPr>
                <w:rFonts w:ascii="Times New Roman" w:hAnsi="Times New Roman"/>
                <w:color w:val="000000"/>
                <w:lang w:eastAsia="sk-SK"/>
              </w:rPr>
              <w:t>editovania pre pedagogické potreby.</w:t>
            </w:r>
          </w:p>
          <w:p w:rsidR="00DB01F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Tvorba animácii ako motivačných prvkov hodiny.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D26A75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10751" w:rsidRDefault="00A67D9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Teams – predstavenie prostredia od Microsoft</w:t>
            </w:r>
            <w:r w:rsidR="0099360F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– nástroj, ktorý si škola zvolila na online vyučovanie. Nakoľko sa hlavné využívanie MS Teams sústredilo na kalendár, tvorbu skupín a online konferenčný hovor, bolo potrebné zopakovať ďalšie nastavenia tohto programu. Nanovo si členovia vytvorili skupiny, aktualizovali zoznamy žiakov. Upresnili sa ovládacie prvky a možnosti zálohovania obrazu, videa, diskusie a </w:t>
            </w:r>
            <w:r w:rsidR="0099360F">
              <w:rPr>
                <w:rFonts w:ascii="Times New Roman" w:hAnsi="Times New Roman"/>
              </w:rPr>
              <w:t>zdieľ</w:t>
            </w:r>
            <w:r>
              <w:rPr>
                <w:rFonts w:ascii="Times New Roman" w:hAnsi="Times New Roman"/>
              </w:rPr>
              <w:t xml:space="preserve">ania súborov v rámci </w:t>
            </w:r>
            <w:r w:rsidR="0099360F">
              <w:rPr>
                <w:rFonts w:ascii="Times New Roman" w:hAnsi="Times New Roman"/>
              </w:rPr>
              <w:t xml:space="preserve">virtuálneho </w:t>
            </w:r>
            <w:r>
              <w:rPr>
                <w:rFonts w:ascii="Times New Roman" w:hAnsi="Times New Roman"/>
              </w:rPr>
              <w:t xml:space="preserve">spojenia. </w:t>
            </w:r>
          </w:p>
          <w:p w:rsidR="00D26A75" w:rsidRPr="007B6C7D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955A8C">
        <w:trPr>
          <w:trHeight w:val="4470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1168" w:rsidRDefault="00A67D9D" w:rsidP="000724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Nakoľko sa aktuálna situácia vývoja pandémie prezentuje skôr nepriaznivo, lektor si zvolil túto tému ako vysoko aktuálnu. Keďže okolité </w:t>
            </w:r>
            <w:r w:rsidR="0099360F">
              <w:rPr>
                <w:rFonts w:ascii="Times New Roman" w:hAnsi="Times New Roman"/>
              </w:rPr>
              <w:t>školy hlásia takmer 50 percent tried na online forme, zopakovali sa nástroje na online výučbu čo členovia ocenili. Dôležitým aspektom je zjednotenie postupov a tým sprehľadnenie a menej náročné prípadné dištančné vzdelávanie. Okrem upevňovania základov Teamsu členovia riešili aktuálne výchovné problémy na škole ako aj alternatívne zabezpečenie online výuky v rodinách žiakov. Škola našťastie modulárne zásobila dve učebne notebookmi ktoré v prípade potreby poskytuje žiakom.</w:t>
            </w:r>
          </w:p>
          <w:p w:rsidR="00072412" w:rsidRPr="007B6C7D" w:rsidRDefault="00072412" w:rsidP="000724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B01F4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A67D9D" w:rsidP="007B6C7D">
            <w:pPr>
              <w:tabs>
                <w:tab w:val="left" w:pos="1114"/>
              </w:tabs>
              <w:spacing w:after="0" w:line="240" w:lineRule="auto"/>
            </w:pPr>
            <w:r>
              <w:t>22</w:t>
            </w:r>
            <w:r w:rsidR="00A10751">
              <w:t>.10</w:t>
            </w:r>
            <w:r w:rsidR="00955A8C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B3D8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DB3D8E" w:rsidP="007B6C7D">
            <w:pPr>
              <w:tabs>
                <w:tab w:val="left" w:pos="1114"/>
              </w:tabs>
              <w:spacing w:after="0" w:line="240" w:lineRule="auto"/>
            </w:pPr>
            <w:r>
              <w:t>22.10.2021</w:t>
            </w:r>
            <w:bookmarkStart w:id="0" w:name="_GoBack"/>
            <w:bookmarkEnd w:id="0"/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99360F" w:rsidRDefault="0099360F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DB01F4" w:rsidRDefault="00DB01F4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Odkaz na webové sídlo zverejnenej správy – uvedie sa odkaz / link na webovú stránku, kde je správa zverejnená</w:t>
      </w:r>
    </w:p>
    <w:p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 praxi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:rsidR="00F305BB" w:rsidRDefault="00F305BB" w:rsidP="00D0796E">
      <w:r>
        <w:t>Dátum konania stretnutia:</w:t>
      </w:r>
      <w:r w:rsidR="00FA1AFF">
        <w:t xml:space="preserve"> </w:t>
      </w:r>
      <w:r w:rsidR="00A67D9D">
        <w:t>22</w:t>
      </w:r>
      <w:r w:rsidR="00A10751">
        <w:t>.10</w:t>
      </w:r>
      <w:r w:rsidR="00DB01F4">
        <w:t>.2021</w:t>
      </w:r>
    </w:p>
    <w:p w:rsidR="00F305BB" w:rsidRDefault="00DB01F4" w:rsidP="00D0796E">
      <w:r>
        <w:t>Trvanie stretnutia:  od 13:35</w:t>
      </w:r>
      <w:r w:rsidR="00DE11E6">
        <w:t xml:space="preserve"> </w:t>
      </w:r>
      <w:r>
        <w:t>hod  - do 15:35</w:t>
      </w:r>
      <w:r w:rsidR="00FA1AFF">
        <w:t xml:space="preserve"> </w:t>
      </w:r>
      <w:r w:rsidR="00F305BB">
        <w:t>hod</w:t>
      </w:r>
      <w:r w:rsidR="00F305BB">
        <w:tab/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Jozef Krajčo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Peter Barta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Eva Fabová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Ivan Greguš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Patrik Šopor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Barbora Lipová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7A6CFA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E36C97"/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21" w:rsidRDefault="00D32A21" w:rsidP="00CF35D8">
      <w:pPr>
        <w:spacing w:after="0" w:line="240" w:lineRule="auto"/>
      </w:pPr>
      <w:r>
        <w:separator/>
      </w:r>
    </w:p>
  </w:endnote>
  <w:endnote w:type="continuationSeparator" w:id="0">
    <w:p w:rsidR="00D32A21" w:rsidRDefault="00D32A2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21" w:rsidRDefault="00D32A21" w:rsidP="00CF35D8">
      <w:pPr>
        <w:spacing w:after="0" w:line="240" w:lineRule="auto"/>
      </w:pPr>
      <w:r>
        <w:separator/>
      </w:r>
    </w:p>
  </w:footnote>
  <w:footnote w:type="continuationSeparator" w:id="0">
    <w:p w:rsidR="00D32A21" w:rsidRDefault="00D32A2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2023E"/>
    <w:rsid w:val="00053B89"/>
    <w:rsid w:val="00072412"/>
    <w:rsid w:val="00081168"/>
    <w:rsid w:val="000E4184"/>
    <w:rsid w:val="000E6FBF"/>
    <w:rsid w:val="000F127B"/>
    <w:rsid w:val="00124693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61BFD"/>
    <w:rsid w:val="002D7F9B"/>
    <w:rsid w:val="002D7FC6"/>
    <w:rsid w:val="002E3F1A"/>
    <w:rsid w:val="0034733D"/>
    <w:rsid w:val="003700F7"/>
    <w:rsid w:val="003D5FE8"/>
    <w:rsid w:val="003F10E0"/>
    <w:rsid w:val="0041729D"/>
    <w:rsid w:val="00423CC3"/>
    <w:rsid w:val="00446402"/>
    <w:rsid w:val="0047001A"/>
    <w:rsid w:val="004C05D7"/>
    <w:rsid w:val="004D2D06"/>
    <w:rsid w:val="004F368A"/>
    <w:rsid w:val="00507CF5"/>
    <w:rsid w:val="005361EC"/>
    <w:rsid w:val="00541786"/>
    <w:rsid w:val="0055263C"/>
    <w:rsid w:val="00583AF0"/>
    <w:rsid w:val="0058712F"/>
    <w:rsid w:val="00592E27"/>
    <w:rsid w:val="00596F2F"/>
    <w:rsid w:val="005A598D"/>
    <w:rsid w:val="006377DA"/>
    <w:rsid w:val="006A3977"/>
    <w:rsid w:val="006B6CBE"/>
    <w:rsid w:val="006E77C5"/>
    <w:rsid w:val="007A5170"/>
    <w:rsid w:val="007A6CFA"/>
    <w:rsid w:val="007B6C7D"/>
    <w:rsid w:val="008058B8"/>
    <w:rsid w:val="00866928"/>
    <w:rsid w:val="0087185B"/>
    <w:rsid w:val="008721DB"/>
    <w:rsid w:val="008C3B1D"/>
    <w:rsid w:val="008C3C41"/>
    <w:rsid w:val="00930C2E"/>
    <w:rsid w:val="00955A8C"/>
    <w:rsid w:val="00957ACD"/>
    <w:rsid w:val="0099360F"/>
    <w:rsid w:val="009C3018"/>
    <w:rsid w:val="009F4F76"/>
    <w:rsid w:val="00A10751"/>
    <w:rsid w:val="00A67D9D"/>
    <w:rsid w:val="00A71E3A"/>
    <w:rsid w:val="00A9043F"/>
    <w:rsid w:val="00AB111C"/>
    <w:rsid w:val="00AE75D2"/>
    <w:rsid w:val="00AF5989"/>
    <w:rsid w:val="00B440DB"/>
    <w:rsid w:val="00B71530"/>
    <w:rsid w:val="00B92414"/>
    <w:rsid w:val="00BB5601"/>
    <w:rsid w:val="00BC58AC"/>
    <w:rsid w:val="00BF2F35"/>
    <w:rsid w:val="00BF4683"/>
    <w:rsid w:val="00BF4792"/>
    <w:rsid w:val="00C065E1"/>
    <w:rsid w:val="00CA0B4D"/>
    <w:rsid w:val="00CA771E"/>
    <w:rsid w:val="00CD40C6"/>
    <w:rsid w:val="00CD7D64"/>
    <w:rsid w:val="00CF35D8"/>
    <w:rsid w:val="00D0796E"/>
    <w:rsid w:val="00D26A75"/>
    <w:rsid w:val="00D32A21"/>
    <w:rsid w:val="00D453F7"/>
    <w:rsid w:val="00D5619C"/>
    <w:rsid w:val="00DA6ABC"/>
    <w:rsid w:val="00DB01F4"/>
    <w:rsid w:val="00DB3D8E"/>
    <w:rsid w:val="00DD1AA4"/>
    <w:rsid w:val="00DE11E6"/>
    <w:rsid w:val="00E36C97"/>
    <w:rsid w:val="00E44C60"/>
    <w:rsid w:val="00E56D52"/>
    <w:rsid w:val="00E926D8"/>
    <w:rsid w:val="00EC5730"/>
    <w:rsid w:val="00EF4CC8"/>
    <w:rsid w:val="00F305BB"/>
    <w:rsid w:val="00F36E61"/>
    <w:rsid w:val="00F61779"/>
    <w:rsid w:val="00FA1AFF"/>
    <w:rsid w:val="00FB579F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Sádovský Eduard ,</cp:lastModifiedBy>
  <cp:revision>5</cp:revision>
  <cp:lastPrinted>2021-10-26T12:55:00Z</cp:lastPrinted>
  <dcterms:created xsi:type="dcterms:W3CDTF">2021-10-26T05:47:00Z</dcterms:created>
  <dcterms:modified xsi:type="dcterms:W3CDTF">2022-10-10T07:04:00Z</dcterms:modified>
</cp:coreProperties>
</file>